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ДОГОВОР № ____</w:t>
      </w:r>
    </w:p>
    <w:p>
      <w:pPr>
        <w:pStyle w:val="Heading2"/>
      </w:pPr>
      <w:r>
        <w:t xml:space="preserve">на разработку программного обеспечения</w:t>
      </w:r>
    </w:p>
    <w:p>
      <w:r>
        <w:t xml:space="preserve">г. Одинцово        «____» ______________ 20____ г.</w:t>
      </w:r>
    </w:p>
    <w:p>
      <w:r>
        <w:rPr>
          <w:b/>
        </w:rPr>
        <w:t xml:space="preserve">Индивидуальный предприниматель Погодина Марина Юрьевна</w:t>
      </w:r>
      <w:r>
        <w:t xml:space="preserve">, ИНН 615427582507, ОГРНИП 326508100221182, действующая на основании записи в Едином государственном реестре индивидуальных предпринимателей, именуемая далее </w:t>
      </w:r>
      <w:r>
        <w:rPr>
          <w:b/>
        </w:rPr>
        <w:t xml:space="preserve">«Исполнитель»</w:t>
      </w:r>
      <w:r>
        <w:t xml:space="preserve">, с одной стороны, и</w:t>
      </w:r>
    </w:p>
    <w:p>
      <w:r>
        <w:t xml:space="preserve">[…полное наименование, ИНН, ОГРН/ОГРНИП…] в лице […должность, ФИО…], действующего на основании […устава / доверенности / записи в ЕГРИП…], именуемое далее </w:t>
      </w:r>
      <w:r>
        <w:rPr>
          <w:b/>
        </w:rPr>
        <w:t xml:space="preserve">«Заказчик»</w:t>
      </w:r>
      <w:r>
        <w:t xml:space="preserve">, с другой стороны,</w:t>
      </w:r>
    </w:p>
    <w:p>
      <w:r>
        <w:t xml:space="preserve">совместно именуемые «Стороны», заключили настоящий Договор о нижеследующем.</w:t>
      </w:r>
    </w:p>
    <w:p>
      <w:pPr>
        <w:pBdr>
          <w:bottom w:val="single" w:sz="6" w:space="1" w:color="C7CBD1"/>
        </w:pBdr>
      </w:pPr>
    </w:p>
    <w:p>
      <w:pPr>
        <w:pStyle w:val="Heading2"/>
      </w:pPr>
      <w:r>
        <w:t xml:space="preserve">1. Предмет договора</w:t>
      </w:r>
    </w:p>
    <w:p>
      <w:r>
        <w:t xml:space="preserve">1.1. Исполнитель обязуется по заданию Заказчика разработать программное обеспечение (далее — </w:t>
      </w:r>
      <w:r>
        <w:rPr>
          <w:b/>
        </w:rPr>
        <w:t xml:space="preserve">Результат работ</w:t>
      </w:r>
      <w:r>
        <w:t xml:space="preserve">) в соответствии с техническим заданием, а Заказчик обязуется принять и оплатить работы.</w:t>
      </w:r>
    </w:p>
    <w:p>
      <w:r>
        <w:t xml:space="preserve">1.2. Техническое задание является Приложением № 1 к настоящему Договору и его неотъемлемой частью. До подписания технического задания обеими Сторонами работы не начинаются.</w:t>
      </w:r>
    </w:p>
    <w:p>
      <w:r>
        <w:t xml:space="preserve">1.3. Состав этапов, сроки и стоимость каждого этапа определены в Приложении № 2 «Календарный план и смета».</w:t>
      </w:r>
    </w:p>
    <w:p>
      <w:r>
        <w:t xml:space="preserve">1.4. Результат работ включает исходный код, документацию и иные материалы, перечисленные в техническом задании.</w:t>
      </w:r>
    </w:p>
    <w:p>
      <w:pPr>
        <w:pBdr>
          <w:bottom w:val="single" w:sz="6" w:space="1" w:color="C7CBD1"/>
        </w:pBdr>
      </w:pPr>
    </w:p>
    <w:p>
      <w:pPr>
        <w:pStyle w:val="Heading2"/>
      </w:pPr>
      <w:r>
        <w:t xml:space="preserve">2. Стоимость работ и порядок расчётов</w:t>
      </w:r>
    </w:p>
    <w:p>
      <w:r>
        <w:t xml:space="preserve">2.1. Общая стоимость работ составляет </w:t>
      </w:r>
      <w:r>
        <w:rPr>
          <w:b/>
        </w:rPr>
        <w:t xml:space="preserve">__________ (__________) рублей</w:t>
      </w:r>
      <w:r>
        <w:t xml:space="preserve">. Исполнитель не является плательщиком налога на добавленную стоимость в связи с применением специального налогового режима.</w:t>
      </w:r>
    </w:p>
    <w:p>
      <w:r>
        <w:t xml:space="preserve">2.2. </w:t>
      </w:r>
      <w:r>
        <w:rPr>
          <w:b/>
        </w:rPr>
        <w:t xml:space="preserve">Стоимость является фиксированной и не подлежит изменению в одностороннем порядке до приёмки Результата работ.</w:t>
      </w:r>
      <w:r>
        <w:t xml:space="preserve"> Увеличение стоимости возможно исключительно на основании подписанного обеими Сторонами дополнительного соглашения при изменении объёма работ по инициативе Заказчика в порядке раздела 6.</w:t>
      </w:r>
    </w:p>
    <w:p>
      <w:r>
        <w:t xml:space="preserve">2.3. </w:t>
      </w:r>
      <w:r>
        <w:rPr>
          <w:b/>
        </w:rPr>
        <w:t xml:space="preserve">Оплата производится поэтапно. По каждому этапу Заказчик вносит 50% его стоимости перед началом работ по этапу и оставшиеся 50% — после подписания акта сдачи-приёмки этого этапа.</w:t>
      </w:r>
    </w:p>
    <w:p>
      <w:r>
        <w:t xml:space="preserve">2.4. Предоплата вносится непосредственно перед соответствующим этапом, а не за проект целиком: </w:t>
      </w:r>
      <w:r>
        <w:rPr>
          <w:b/>
        </w:rPr>
        <w:t xml:space="preserve">аванс за этапы, работы по которым не начаты, не взимается.</w:t>
      </w:r>
      <w:r>
        <w:t xml:space="preserve"> Размер обязательства Заказчика в любой момент не превышает половины стоимости текущего этапа сверх уже принятых работ.</w:t>
      </w:r>
    </w:p>
    <w:p>
      <w:r>
        <w:t xml:space="preserve">2.5. Если Договору предшествовал этап обследования, оплаченный Заказчиком отдельно, его стоимость </w:t>
      </w:r>
      <w:r>
        <w:rPr>
          <w:b/>
        </w:rPr>
        <w:t xml:space="preserve">засчитывается в счёт стоимости работ</w:t>
      </w:r>
      <w:r>
        <w:t xml:space="preserve"> по настоящему Договору в полном объёме.</w:t>
      </w:r>
    </w:p>
    <w:p>
      <w:r>
        <w:t xml:space="preserve">2.6. Предоплата по этапу вносится в течение 5 (пяти) рабочих дней с даты выставления счёта. Оставшаяся часть — в течение 5 (пяти) рабочих дней с даты подписания акта сдачи-приёмки этапа.</w:t>
      </w:r>
    </w:p>
    <w:p>
      <w:r>
        <w:t xml:space="preserve">2.7. </w:t>
      </w:r>
      <w:r>
        <w:rPr>
          <w:b/>
        </w:rPr>
        <w:t xml:space="preserve">Сторонние платные сервисы, необходимые для создания и работы Результата работ, оплачивает Заказчик напрямую; в стоимость работ по настоящему Договору они не входят.</w:t>
      </w:r>
      <w:r>
        <w:t xml:space="preserve"> К таким сервисам относятся, в частности: доступ к языковым моделям и иным сервисам искусственного интеллекта, хостинг и вычислительные мощности, доменные имена, платёжные сервисы, службы отправки сообщений и уведомлений, лицензии на программное обеспечение. Перечень необходимых сервисов с ориентировочной стоимостью Исполнитель передаёт Заказчику до начала работ по этапу.</w:t>
      </w:r>
    </w:p>
    <w:p>
      <w:r>
        <w:t xml:space="preserve">2.8. Обучение сотрудников Заказчика работе с Результатом работ, если оно предусмотрено, выделяется в смете </w:t>
      </w:r>
      <w:r>
        <w:rPr>
          <w:b/>
        </w:rPr>
        <w:t xml:space="preserve">отдельной строкой</w:t>
      </w:r>
      <w:r>
        <w:t xml:space="preserve"> и приобретается по выбору Заказчика. Отказ от обучения не влияет на состав и качество передаваемого Результата работ.</w:t>
      </w:r>
    </w:p>
    <w:p>
      <w:pPr>
        <w:pBdr>
          <w:bottom w:val="single" w:sz="6" w:space="1" w:color="C7CBD1"/>
        </w:pBdr>
      </w:pPr>
    </w:p>
    <w:p>
      <w:pPr>
        <w:pStyle w:val="Heading2"/>
      </w:pPr>
      <w:r>
        <w:t xml:space="preserve">3. Сроки и ответственность за их нарушение</w:t>
      </w:r>
    </w:p>
    <w:p>
      <w:r>
        <w:t xml:space="preserve">3.1. Сроки выполнения этапов установлены в Приложении № 2. </w:t>
      </w:r>
      <w:r>
        <w:rPr>
          <w:b/>
        </w:rPr>
        <w:t xml:space="preserve">Срок этапа исчисляется с наиболее поздней из дат: поступление предоплаты по этапу; предоставление Заказчиком доступов, необходимых для работ по этапу; оплата Заказчиком сторонних сервисов по пункту 2.7.</w:t>
      </w:r>
      <w:r>
        <w:t xml:space="preserve"> До наступления этих условий работы по этапу не начинаются и срок не течёт.</w:t>
      </w:r>
    </w:p>
    <w:p>
      <w:r>
        <w:t xml:space="preserve">3.2. </w:t>
      </w:r>
      <w:r>
        <w:rPr>
          <w:b/>
        </w:rPr>
        <w:t xml:space="preserve">При нарушении Исполнителем конечного срока по причинам, зависящим от Исполнителя, стоимость работ по настоящему Договору уменьшается на 20% (двадцать процентов).</w:t>
      </w:r>
      <w:r>
        <w:t xml:space="preserve"> Уменьшение производится однократно и оформляется актом; выплата иных неустоек за то же нарушение не производится.</w:t>
      </w:r>
    </w:p>
    <w:p>
      <w:r>
        <w:t xml:space="preserve">3.3. Срок продлевается на период просрочки Заказчика в предоставлении доступов, данных, материалов или решений, если такая просрочка препятствует выполнению работ. Факт и длительность фиксируются письменно.</w:t>
      </w:r>
    </w:p>
    <w:p>
      <w:r>
        <w:t xml:space="preserve">3.4. Исполнитель не отвечает за сроки, зависящие от третьих лиц: модерация в магазинах приложений, сроки ответа сторонних служб поддержки, сроки регистрационных действий.</w:t>
      </w:r>
    </w:p>
    <w:p>
      <w:pPr>
        <w:pBdr>
          <w:bottom w:val="single" w:sz="6" w:space="1" w:color="C7CBD1"/>
        </w:pBdr>
      </w:pPr>
    </w:p>
    <w:p>
      <w:pPr>
        <w:pStyle w:val="Heading2"/>
      </w:pPr>
      <w:r>
        <w:t xml:space="preserve">4. Порядок выполнения работ, доступ и прозрачность</w:t>
      </w:r>
    </w:p>
    <w:p>
      <w:r>
        <w:t xml:space="preserve">4.1. </w:t>
      </w:r>
      <w:r>
        <w:rPr>
          <w:b/>
        </w:rPr>
        <w:t xml:space="preserve">Репозиторий с исходным кодом создаётся на аккаунте Заказчика до начала работ по первому этапу.</w:t>
      </w:r>
      <w:r>
        <w:t xml:space="preserve"> Исполнитель получает права участника разработки. Передача кода «в конце проекта» настоящим Договором не предусмотрена, поскольку код находится у Заказчика с первого дня.</w:t>
      </w:r>
    </w:p>
    <w:p>
      <w:r>
        <w:t xml:space="preserve">4.2. Документация ведётся по ходу работ и хранится в том же репозитории.</w:t>
      </w:r>
    </w:p>
    <w:p>
      <w:r>
        <w:t xml:space="preserve">4.3. Заказчику предоставляется доступ к системе управления задачами и демонстрации промежуточных результатов с периодичностью, установленной в Приложении № 2.</w:t>
      </w:r>
    </w:p>
    <w:p>
      <w:r>
        <w:t xml:space="preserve">4.4. Исполнитель вправе привлекать к выполнению работ третьих лиц, оставаясь ответственным перед Заказчиком за результат в полном объёме.</w:t>
      </w:r>
    </w:p>
    <w:p>
      <w:pPr>
        <w:pBdr>
          <w:bottom w:val="single" w:sz="6" w:space="1" w:color="C7CBD1"/>
        </w:pBdr>
      </w:pPr>
    </w:p>
    <w:p>
      <w:pPr>
        <w:pStyle w:val="Heading2"/>
      </w:pPr>
      <w:r>
        <w:t xml:space="preserve">5. Приёмка работ и гарантийный срок</w:t>
      </w:r>
    </w:p>
    <w:p>
      <w:r>
        <w:t xml:space="preserve">5.1. По завершении этапа Исполнитель направляет Заказчику уведомление и акт сдачи-приёмки.</w:t>
      </w:r>
    </w:p>
    <w:p>
      <w:r>
        <w:t xml:space="preserve">5.2. Заказчик в течение 5 (пяти) рабочих дней подписывает акт либо направляет мотивированный отказ с перечнем несоответствий техническому заданию. При отсутствии подписанного акта и мотивированного отказа в указанный срок работы считаются принятыми.</w:t>
      </w:r>
    </w:p>
    <w:p>
      <w:r>
        <w:t xml:space="preserve">5.3. Замечания, не основанные на техническом задании, к мотивированному отказу не относятся и рассматриваются в порядке раздела 6.</w:t>
      </w:r>
    </w:p>
    <w:p>
      <w:r>
        <w:t xml:space="preserve">5.4. </w:t>
      </w:r>
      <w:r>
        <w:rPr>
          <w:b/>
        </w:rPr>
        <w:t xml:space="preserve">Гарантийный срок составляет 14 (четырнадцать) календарных дней с даты приёмки Результата работ.</w:t>
      </w:r>
      <w:r>
        <w:t xml:space="preserve"> В течение гарантийного срока Исполнитель безвозмездно устраняет дефекты и выполняет донастройку в пределах согласованного технического задания.</w:t>
      </w:r>
    </w:p>
    <w:p>
      <w:r>
        <w:t xml:space="preserve">5.5. Гарантия не распространяется на последствия изменения Результата работ Заказчиком или третьими лицами, изменения внешних систем и программных интерфейсов, а также на новые требования, не отражённые в техническом задании.</w:t>
      </w:r>
    </w:p>
    <w:p>
      <w:pPr>
        <w:pBdr>
          <w:bottom w:val="single" w:sz="6" w:space="1" w:color="C7CBD1"/>
        </w:pBdr>
      </w:pPr>
    </w:p>
    <w:p>
      <w:pPr>
        <w:pStyle w:val="Heading2"/>
      </w:pPr>
      <w:r>
        <w:t xml:space="preserve">6. Изменение объёма работ</w:t>
      </w:r>
    </w:p>
    <w:p>
      <w:r>
        <w:t xml:space="preserve">6.1. Требование, не предусмотренное техническим заданием, оформляется запросом на изменение.</w:t>
      </w:r>
    </w:p>
    <w:p>
      <w:r>
        <w:t xml:space="preserve">6.2. Исполнитель оценивает влияние изменения на стоимость и срок и направляет оценку Заказчику. Работы по изменению начинаются только после подписания дополнительного соглашения.</w:t>
      </w:r>
    </w:p>
    <w:p>
      <w:r>
        <w:t xml:space="preserve">6.3. </w:t>
      </w:r>
      <w:r>
        <w:rPr>
          <w:b/>
        </w:rPr>
        <w:t xml:space="preserve">До подписания дополнительного соглашения стоимость и срок, установленные настоящим Договором, не изменяются.</w:t>
      </w:r>
    </w:p>
    <w:p>
      <w:pPr>
        <w:pBdr>
          <w:bottom w:val="single" w:sz="6" w:space="1" w:color="C7CBD1"/>
        </w:pBdr>
      </w:pPr>
    </w:p>
    <w:p>
      <w:pPr>
        <w:pStyle w:val="Heading2"/>
      </w:pPr>
      <w:r>
        <w:t xml:space="preserve">7. Права на результат работ</w:t>
      </w:r>
    </w:p>
    <w:p>
      <w:r>
        <w:t xml:space="preserve">7.1. </w:t>
      </w:r>
      <w:r>
        <w:rPr>
          <w:b/>
        </w:rPr>
        <w:t xml:space="preserve">Исключительное право на Результат работ в полном объёме переходит к Заказчику</w:t>
      </w:r>
      <w:r>
        <w:t xml:space="preserve"> с момента оплаты соответствующего этапа, на территории всего мира и на весь срок действия исключительного права.</w:t>
      </w:r>
    </w:p>
    <w:p>
      <w:r>
        <w:t xml:space="preserve">7.2. Заказчик вправе использовать, изменять, дорабатывать и передавать Результат работ третьим лицам без согласия и уведомления Исполнителя, в том числе привлекать иных подрядчиков для его развития.</w:t>
      </w:r>
    </w:p>
    <w:p>
      <w:r>
        <w:t xml:space="preserve">7.3. Исполнитель гарантирует, что Результат работ не нарушает прав третьих лиц, а использованные компоненты с открытым исходным кодом допускают такое использование. Перечень таких компонентов и их лицензий передаётся вместе с документацией.</w:t>
      </w:r>
    </w:p>
    <w:p>
      <w:r>
        <w:t xml:space="preserve">7.4. Исполнитель вправе указывать факт выполнения работ и общее описание задачи в портфолио. Наименование Заказчика, снимки экранов и измеримые показатели проекта публикуются </w:t>
      </w:r>
      <w:r>
        <w:rPr>
          <w:b/>
        </w:rPr>
        <w:t xml:space="preserve">только с предварительного письменного согласия Заказчика</w:t>
      </w:r>
      <w:r>
        <w:t xml:space="preserve">.</w:t>
      </w:r>
    </w:p>
    <w:p>
      <w:pPr>
        <w:pBdr>
          <w:bottom w:val="single" w:sz="6" w:space="1" w:color="C7CBD1"/>
        </w:pBdr>
      </w:pPr>
    </w:p>
    <w:p>
      <w:pPr>
        <w:pStyle w:val="Heading2"/>
      </w:pPr>
      <w:r>
        <w:t xml:space="preserve">8. Конфиденциальность</w:t>
      </w:r>
    </w:p>
    <w:p>
      <w:r>
        <w:t xml:space="preserve">8.1. Стороны обязуются не разглашать сведения, полученные в ходе исполнения Договора, включая сведения о бизнес-процессах, данных, доступах и коммерческих условиях.</w:t>
      </w:r>
    </w:p>
    <w:p>
      <w:r>
        <w:t xml:space="preserve">8.2. Обязательство действует в течение срока действия Договора и 3 (трёх) лет после его прекращения.</w:t>
      </w:r>
    </w:p>
    <w:p>
      <w:r>
        <w:t xml:space="preserve">8.3. Не являются конфиденциальными сведения, ставшие общедоступными не по вине принимающей Стороны, а также сведения, раскрытие которых обязательно в силу закона или требования уполномоченного органа.</w:t>
      </w:r>
    </w:p>
    <w:p>
      <w:pPr>
        <w:pBdr>
          <w:bottom w:val="single" w:sz="6" w:space="1" w:color="C7CBD1"/>
        </w:pBdr>
      </w:pPr>
    </w:p>
    <w:p>
      <w:pPr>
        <w:pStyle w:val="Heading2"/>
      </w:pPr>
      <w:r>
        <w:t xml:space="preserve">9. Доступы и обработка персональных данных</w:t>
      </w:r>
    </w:p>
    <w:p>
      <w:r>
        <w:t xml:space="preserve">9.1. </w:t>
      </w:r>
      <w:r>
        <w:rPr>
          <w:b/>
        </w:rPr>
        <w:t xml:space="preserve">Доступы, необходимые для выполнения работ, предоставляет Заказчик до начала работ по соответствующему этапу.</w:t>
      </w:r>
      <w:r>
        <w:t xml:space="preserve"> Перечень необходимых доступов Исполнитель передаёт заранее. Доступы предоставляются в минимально необходимом объёме, именованно и на срок выполнения работ; перечень выданных доступов фиксируется письменно.</w:t>
      </w:r>
    </w:p>
    <w:p>
      <w:r>
        <w:t xml:space="preserve">9.2. </w:t>
      </w:r>
      <w:r>
        <w:rPr>
          <w:b/>
        </w:rPr>
        <w:t xml:space="preserve">В течение 5 (пяти) рабочих дней после приёмки Результата работ доступы отзываются Заказчиком</w:t>
      </w:r>
      <w:r>
        <w:t xml:space="preserve">, о чём Стороны составляют акт либо обмениваются письменными подтверждениями.</w:t>
      </w:r>
    </w:p>
    <w:p>
      <w:r>
        <w:t xml:space="preserve">9.3. Если при исполнении Договора Исполнитель обрабатывает персональные данные, оператором которых является Заказчик, такая обработка осуществляется </w:t>
      </w:r>
      <w:r>
        <w:rPr>
          <w:b/>
        </w:rPr>
        <w:t xml:space="preserve">исключительно по поручению Заказчика</w:t>
      </w:r>
      <w:r>
        <w:t xml:space="preserve"> в соответствии с ч. 3 ст. 6 Федерального закона от 27.07.2006 № 152-ФЗ «О персональных данных». Условия поручения — цели, перечень действий, категории данных и субъектов, требования к защите, срок обработки и порядок уничтожения — определяются Приложением № 3.</w:t>
      </w:r>
    </w:p>
    <w:p>
      <w:r>
        <w:t xml:space="preserve">9.4. Исполнитель обязан соблюдать конфиденциальность персональных данных и принимать меры по их защите, предусмотренные ст. 19 указанного закона, и не обязан получать согласие субъектов персональных данных на их обработку.</w:t>
      </w:r>
    </w:p>
    <w:p>
      <w:r>
        <w:t xml:space="preserve">9.5. Ответственность перед субъектом персональных данных за действия Исполнителя несёт Заказчик как оператор; Исполнитель несёт ответственность перед Заказчиком.</w:t>
      </w:r>
    </w:p>
    <w:p>
      <w:r>
        <w:t xml:space="preserve">9.6. По завершении работ Исполнитель прекращает обработку и уничтожает персональные данные, полученные для выполнения поручения, за исключением случаев, когда их хранение обязательно в силу закона.</w:t>
      </w:r>
    </w:p>
    <w:p>
      <w:pPr>
        <w:pBdr>
          <w:bottom w:val="single" w:sz="6" w:space="1" w:color="C7CBD1"/>
        </w:pBdr>
      </w:pPr>
    </w:p>
    <w:p>
      <w:pPr>
        <w:pStyle w:val="Heading2"/>
      </w:pPr>
      <w:r>
        <w:t xml:space="preserve">10. Что не входит в предмет договора</w:t>
      </w:r>
    </w:p>
    <w:p>
      <w:r>
        <w:t xml:space="preserve">10.1. Если иное прямо не указано в техническом задании, в стоимость работ </w:t>
      </w:r>
      <w:r>
        <w:rPr>
          <w:b/>
        </w:rPr>
        <w:t xml:space="preserve">не входят</w:t>
      </w:r>
      <w:r>
        <w:t xml:space="preserve">:</w:t>
      </w:r>
    </w:p>
    <w:p>
      <w:pPr>
        <w:pStyle w:val="ListItem"/>
      </w:pPr>
      <w:r>
        <w:t xml:space="preserve">приобретение и продление лицензий, подписок и платных сервисов третьих лиц по пункту 2.7, включая доступ к языковым моделям и сервисам искусственного интеллекта, хостинг, доменные имена и учётные записи разработчика в магазинах приложений;</w:t>
      </w:r>
    </w:p>
    <w:p>
      <w:pPr>
        <w:pStyle w:val="ListItem"/>
      </w:pPr>
      <w:r>
        <w:t xml:space="preserve">наполнение системы контентом и справочными данными;</w:t>
      </w:r>
    </w:p>
    <w:p>
      <w:pPr>
        <w:pStyle w:val="ListItem"/>
      </w:pPr>
      <w:r>
        <w:t xml:space="preserve">рекламное продвижение Результата работ;</w:t>
      </w:r>
    </w:p>
    <w:p>
      <w:pPr>
        <w:pStyle w:val="ListItem"/>
      </w:pPr>
      <w:r>
        <w:t xml:space="preserve">сопровождение и доработки после истечения гарантийного срока;</w:t>
      </w:r>
    </w:p>
    <w:p>
      <w:pPr>
        <w:pStyle w:val="ListItem"/>
      </w:pPr>
      <w:r>
        <w:t xml:space="preserve">миграция данных из систем, не имеющих документированного формата выгрузки, без предварительного обследования;</w:t>
      </w:r>
    </w:p>
    <w:p>
      <w:pPr>
        <w:pStyle w:val="ListItem"/>
      </w:pPr>
      <w:r>
        <w:t xml:space="preserve">приведение в порядок учётных или иных данных Заказчика;</w:t>
      </w:r>
    </w:p>
    <w:p>
      <w:pPr>
        <w:pStyle w:val="ListItem"/>
      </w:pPr>
      <w:r>
        <w:t xml:space="preserve">работы, требующие лицензии, которой Исполнитель не обладает.</w:t>
      </w:r>
    </w:p>
    <w:p>
      <w:r>
        <w:t xml:space="preserve">10.2. Перечисленные работы могут быть выполнены на основании отдельного соглашения.</w:t>
      </w:r>
    </w:p>
    <w:p>
      <w:pPr>
        <w:pBdr>
          <w:bottom w:val="single" w:sz="6" w:space="1" w:color="C7CBD1"/>
        </w:pBdr>
      </w:pPr>
    </w:p>
    <w:p>
      <w:pPr>
        <w:pStyle w:val="Heading2"/>
      </w:pPr>
      <w:r>
        <w:t xml:space="preserve">11. Расторжение договора</w:t>
      </w:r>
    </w:p>
    <w:p>
      <w:r>
        <w:t xml:space="preserve">11.1. Договор может быть расторгнут по соглашению Сторон, а также в одностороннем внесудебном порядке любой из Сторон с письменным уведомлением не менее чем за 10 (десять) календарных дней.</w:t>
      </w:r>
    </w:p>
    <w:p>
      <w:r>
        <w:t xml:space="preserve">11.2. </w:t>
      </w:r>
      <w:r>
        <w:rPr>
          <w:b/>
        </w:rPr>
        <w:t xml:space="preserve">При досрочном расторжении по любому основанию:</w:t>
      </w:r>
    </w:p>
    <w:p>
      <w:pPr>
        <w:pStyle w:val="ListItem"/>
      </w:pPr>
      <w:r>
        <w:t xml:space="preserve">оплате подлежат фактически выполненные работы, включая работы по начатому, но не завершённому этапу — в объёме их фактического выполнения;</w:t>
      </w:r>
    </w:p>
    <w:p>
      <w:pPr>
        <w:pStyle w:val="ListItem"/>
      </w:pPr>
      <w:r>
        <w:rPr>
          <w:b/>
        </w:rPr>
        <w:t xml:space="preserve">предоплата в части, превышающей стоимость фактически выполненных работ, а также денежные средства за неначатые этапы возвращаются Заказчику в течение 10 (десяти) рабочих дней;</w:t>
      </w:r>
    </w:p>
    <w:p>
      <w:pPr>
        <w:pStyle w:val="ListItem"/>
      </w:pPr>
      <w:r>
        <w:rPr>
          <w:b/>
        </w:rPr>
        <w:t xml:space="preserve">исключительное право на результаты оплаченных этапов сохраняется за Заказчиком</w:t>
      </w:r>
      <w:r>
        <w:t xml:space="preserve"> в полном объёме;</w:t>
      </w:r>
    </w:p>
    <w:p>
      <w:pPr>
        <w:pStyle w:val="ListItem"/>
      </w:pPr>
      <w:r>
        <w:t xml:space="preserve">Исполнитель передаёт Заказчику всю созданную к моменту расторжения документацию и сведения, необходимые для продолжения работ иным подрядчиком;</w:t>
      </w:r>
    </w:p>
    <w:p>
      <w:pPr>
        <w:pStyle w:val="ListItem"/>
      </w:pPr>
      <w:r>
        <w:t xml:space="preserve">доступы, выданные Исполнителю, отзываются в порядке пункта 9.2.</w:t>
      </w:r>
    </w:p>
    <w:p>
      <w:r>
        <w:t xml:space="preserve">11.3. Расторжение Договора не прекращает обязательств Сторон по разделам 7, 8 и 9.</w:t>
      </w:r>
    </w:p>
    <w:p>
      <w:pPr>
        <w:pBdr>
          <w:bottom w:val="single" w:sz="6" w:space="1" w:color="C7CBD1"/>
        </w:pBdr>
      </w:pPr>
    </w:p>
    <w:p>
      <w:pPr>
        <w:pStyle w:val="Heading2"/>
      </w:pPr>
      <w:r>
        <w:t xml:space="preserve">12. Ответственность сторон</w:t>
      </w:r>
    </w:p>
    <w:p>
      <w:r>
        <w:t xml:space="preserve">12.1. Стороны несут ответственность в соответствии с законодательством Российской Федерации с учётом ограничений настоящего раздела.</w:t>
      </w:r>
    </w:p>
    <w:p>
      <w:r>
        <w:t xml:space="preserve">12.2. Совокупная ответственность Исполнителя по Договору ограничена стоимостью фактически оплаченных Заказчиком работ. Ограничение не применяется к случаям умысла, а также к случаям, когда ограничение ответственности не допускается законом.</w:t>
      </w:r>
    </w:p>
    <w:p>
      <w:r>
        <w:t xml:space="preserve">12.3. Стороны не отвечают за неисполнение обязательств вследствие обстоятельств непреодолимой силы.</w:t>
      </w:r>
    </w:p>
    <w:p>
      <w:pPr>
        <w:pBdr>
          <w:bottom w:val="single" w:sz="6" w:space="1" w:color="C7CBD1"/>
        </w:pBdr>
      </w:pPr>
    </w:p>
    <w:p>
      <w:pPr>
        <w:pStyle w:val="Heading2"/>
      </w:pPr>
      <w:r>
        <w:t xml:space="preserve">13. Разрешение споров и заключительные положения</w:t>
      </w:r>
    </w:p>
    <w:p>
      <w:r>
        <w:t xml:space="preserve">13.1. Стороны принимают меры к досудебному урегулированию. Срок ответа на претензию — 15 (пятнадцать) календарных дней с даты получения.</w:t>
      </w:r>
    </w:p>
    <w:p>
      <w:r>
        <w:t xml:space="preserve">13.2. Неурегулированные споры рассматриваются судом по месту нахождения ответчика, если законом не установлена иная подсудность.</w:t>
      </w:r>
    </w:p>
    <w:p>
      <w:r>
        <w:t xml:space="preserve">13.3. Документы, направленные с адресов электронной почты, указанных в реквизитах, признаются исходящими от Стороны. Акты и дополнительные соглашения подписываются собственноручно или усиленной квалифицированной электронной подписью.</w:t>
      </w:r>
    </w:p>
    <w:p>
      <w:r>
        <w:t xml:space="preserve">13.4. Приложения к Договору:</w:t>
      </w:r>
    </w:p>
    <w:p>
      <w:pPr>
        <w:pStyle w:val="ListItem"/>
      </w:pPr>
      <w:r>
        <w:t xml:space="preserve">Приложение № 1 — Техническое задание;</w:t>
      </w:r>
    </w:p>
    <w:p>
      <w:pPr>
        <w:pStyle w:val="ListItem"/>
      </w:pPr>
      <w:r>
        <w:t xml:space="preserve">Приложение № 2 — Календарный план и смета;</w:t>
      </w:r>
    </w:p>
    <w:p>
      <w:pPr>
        <w:pStyle w:val="ListItem"/>
      </w:pPr>
      <w:r>
        <w:t xml:space="preserve">Приложение № 3 — Поручение на обработку персональных данных (при необходимости).</w:t>
      </w:r>
    </w:p>
    <w:p>
      <w:pPr>
        <w:pBdr>
          <w:bottom w:val="single" w:sz="6" w:space="1" w:color="C7CBD1"/>
        </w:pBdr>
      </w:pPr>
    </w:p>
    <w:p>
      <w:pPr>
        <w:pStyle w:val="Heading2"/>
      </w:pPr>
      <w:r>
        <w:t xml:space="preserve">14. Реквизиты и подписи сторон</w:t>
      </w:r>
    </w:p>
    <w:tbl>
      <w:tblPr>
        <w:tblStyle w:val="TableGrid"/>
        <w:tblW w:w="9350" w:type="dxa"/>
        <w:tblBorders>
          <w:top w:val="single" w:sz="4" w:space="0" w:color="C7CBD1"/>
          <w:left w:val="single" w:sz="4" w:space="0" w:color="C7CBD1"/>
          <w:bottom w:val="single" w:sz="4" w:space="0" w:color="C7CBD1"/>
          <w:right w:val="single" w:sz="4" w:space="0" w:color="C7CBD1"/>
          <w:insideH w:val="single" w:sz="4" w:space="0" w:color="C7CBD1"/>
          <w:insideV w:val="single" w:sz="4" w:space="0" w:color="C7CBD1"/>
        </w:tblBorders>
        <w:tblLayout w:type="fixed"/>
      </w:tblPr>
      <w:tblGrid>
        <w:gridCol w:w="4675"/>
        <w:gridCol w:w="4675"/>
      </w:tblGrid>
      <w:tr>
        <w:trPr>
          <w:tblHeader/>
        </w:trPr>
        <w:tc>
          <w:tcPr>
            <w:tcW w:w="4675" w:type="dxa"/>
            <w:shd w:val="clear" w:color="auto" w:fill="F2F3F5"/>
          </w:tcPr>
          <w:p>
            <w:pPr>
              <w:pStyle w:val="TableCell"/>
            </w:pPr>
            <w:r>
              <w:rPr>
                <w:b/>
              </w:rPr>
              <w:t xml:space="preserve">Исполнитель</w:t>
            </w:r>
          </w:p>
        </w:tc>
        <w:tc>
          <w:tcPr>
            <w:tcW w:w="4675" w:type="dxa"/>
            <w:shd w:val="clear" w:color="auto" w:fill="F2F3F5"/>
          </w:tcPr>
          <w:p>
            <w:pPr>
              <w:pStyle w:val="TableCell"/>
            </w:pPr>
            <w:r>
              <w:rPr>
                <w:b/>
              </w:rPr>
              <w:t xml:space="preserve">Заказчик</w:t>
            </w:r>
          </w:p>
        </w:tc>
      </w:tr>
      <w:tr>
        <w:tc>
          <w:tcPr>
            <w:tcW w:w="4675" w:type="dxa"/>
          </w:tcPr>
          <w:p>
            <w:pPr>
              <w:pStyle w:val="TableCell"/>
            </w:pPr>
            <w:r>
              <w:t xml:space="preserve">ИП Погодина Марина Юрьевна</w:t>
            </w:r>
          </w:p>
        </w:tc>
        <w:tc>
          <w:tcPr>
            <w:tcW w:w="4675" w:type="dxa"/>
          </w:tcPr>
          <w:p>
            <w:pPr>
              <w:pStyle w:val="TableCell"/>
            </w:pPr>
            <w:r>
              <w:t xml:space="preserve">[…наименование…]</w:t>
            </w:r>
          </w:p>
        </w:tc>
      </w:tr>
      <w:tr>
        <w:tc>
          <w:tcPr>
            <w:tcW w:w="4675" w:type="dxa"/>
          </w:tcPr>
          <w:p>
            <w:pPr>
              <w:pStyle w:val="TableCell"/>
            </w:pPr>
            <w:r>
              <w:t xml:space="preserve">ИНН 615427582507</w:t>
            </w:r>
          </w:p>
        </w:tc>
        <w:tc>
          <w:tcPr>
            <w:tcW w:w="4675" w:type="dxa"/>
          </w:tcPr>
          <w:p>
            <w:pPr>
              <w:pStyle w:val="TableCell"/>
            </w:pPr>
            <w:r>
              <w:t xml:space="preserve">ИНН […]</w:t>
            </w:r>
          </w:p>
        </w:tc>
      </w:tr>
      <w:tr>
        <w:tc>
          <w:tcPr>
            <w:tcW w:w="4675" w:type="dxa"/>
          </w:tcPr>
          <w:p>
            <w:pPr>
              <w:pStyle w:val="TableCell"/>
            </w:pPr>
            <w:r>
              <w:t xml:space="preserve">ОГРНИП 326508100221182</w:t>
            </w:r>
          </w:p>
        </w:tc>
        <w:tc>
          <w:tcPr>
            <w:tcW w:w="4675" w:type="dxa"/>
          </w:tcPr>
          <w:p>
            <w:pPr>
              <w:pStyle w:val="TableCell"/>
            </w:pPr>
            <w:r>
              <w:t xml:space="preserve">ОГРН/ОГРНИП […]</w:t>
            </w:r>
          </w:p>
        </w:tc>
      </w:tr>
      <w:tr>
        <w:tc>
          <w:tcPr>
            <w:tcW w:w="4675" w:type="dxa"/>
          </w:tcPr>
          <w:p>
            <w:pPr>
              <w:pStyle w:val="TableCell"/>
            </w:pPr>
            <w:r>
              <w:t xml:space="preserve">Адрес: […]</w:t>
            </w:r>
          </w:p>
        </w:tc>
        <w:tc>
          <w:tcPr>
            <w:tcW w:w="4675" w:type="dxa"/>
          </w:tcPr>
          <w:p>
            <w:pPr>
              <w:pStyle w:val="TableCell"/>
            </w:pPr>
            <w:r>
              <w:t xml:space="preserve">Адрес: […]</w:t>
            </w:r>
          </w:p>
        </w:tc>
      </w:tr>
      <w:tr>
        <w:tc>
          <w:tcPr>
            <w:tcW w:w="4675" w:type="dxa"/>
          </w:tcPr>
          <w:p>
            <w:pPr>
              <w:pStyle w:val="TableCell"/>
            </w:pPr>
            <w:r>
              <w:t xml:space="preserve">Эл. почта: info@promaren.ru</w:t>
            </w:r>
          </w:p>
        </w:tc>
        <w:tc>
          <w:tcPr>
            <w:tcW w:w="4675" w:type="dxa"/>
          </w:tcPr>
          <w:p>
            <w:pPr>
              <w:pStyle w:val="TableCell"/>
            </w:pPr>
            <w:r>
              <w:t xml:space="preserve">Эл. почта: […]</w:t>
            </w:r>
          </w:p>
        </w:tc>
      </w:tr>
      <w:tr>
        <w:tc>
          <w:tcPr>
            <w:tcW w:w="4675" w:type="dxa"/>
          </w:tcPr>
          <w:p>
            <w:pPr>
              <w:pStyle w:val="TableCell"/>
            </w:pPr>
            <w:r>
              <w:t xml:space="preserve">Р/с […], банк […], БИК […]</w:t>
            </w:r>
          </w:p>
        </w:tc>
        <w:tc>
          <w:tcPr>
            <w:tcW w:w="4675" w:type="dxa"/>
          </w:tcPr>
          <w:p>
            <w:pPr>
              <w:pStyle w:val="TableCell"/>
            </w:pPr>
            <w:r>
              <w:t xml:space="preserve">Р/с […], банк […], БИК […]</w:t>
            </w:r>
          </w:p>
        </w:tc>
      </w:tr>
    </w:tbl>
    <w:p/>
    <w:p>
      <w:r>
        <w:t xml:space="preserve">Исполнитель: ______________________ / Погодина М. Ю. /</w:t>
      </w:r>
    </w:p>
    <w:p>
      <w:r>
        <w:t xml:space="preserve">Заказчик: ______________________ / […] /</w:t>
      </w:r>
    </w:p>
    <w:sectPr>
      <w:pgSz w:w="11906" w:h="16838"/>
      <w:pgMar w:top="1134" w:right="1134" w:bottom="1134" w:left="1418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Inter" w:hAnsi="Inter" w:cs="Inter"/>
        <w:sz w:val="21"/>
        <w:szCs w:val="21"/>
        <w:lang w:val="ru-RU"/>
      </w:rPr>
    </w:rPrDefault>
    <w:pPrDefault>
      <w:pPr>
        <w:spacing w:after="140" w:line="290" w:lineRule="auto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qFormat/>
    <w:pPr>
      <w:keepNext/>
      <w:spacing w:before="240" w:after="180"/>
      <w:outlineLvl w:val="0"/>
    </w:pPr>
    <w:rPr>
      <w:rFonts w:ascii="Martian Mono" w:hAnsi="Martian Mono" w:cs="Martian Mono"/>
      <w:b/>
      <w:sz w:val="40"/>
    </w:rPr>
  </w:style>
  <w:style w:type="paragraph" w:styleId="Heading2">
    <w:name w:val="heading 2"/>
    <w:basedOn w:val="Normal"/>
    <w:qFormat/>
    <w:pPr>
      <w:keepNext/>
      <w:spacing w:before="280" w:after="140"/>
      <w:outlineLvl w:val="1"/>
    </w:pPr>
    <w:rPr>
      <w:rFonts w:ascii="Martian Mono" w:hAnsi="Martian Mono" w:cs="Martian Mono"/>
      <w:b/>
      <w:sz w:val="28"/>
    </w:rPr>
  </w:style>
  <w:style w:type="paragraph" w:styleId="Heading3">
    <w:name w:val="heading 3"/>
    <w:basedOn w:val="Normal"/>
    <w:qFormat/>
    <w:pPr>
      <w:keepNext/>
      <w:spacing w:before="220" w:after="120"/>
      <w:outlineLvl w:val="2"/>
    </w:pPr>
    <w:rPr>
      <w:rFonts w:ascii="Martian Mono" w:hAnsi="Martian Mono" w:cs="Martian Mono"/>
      <w:b/>
      <w:sz w:val="23"/>
    </w:rPr>
  </w:style>
  <w:style w:type="paragraph" w:styleId="ListItem">
    <w:name w:val="List Item"/>
    <w:basedOn w:val="Normal"/>
    <w:pPr>
      <w:spacing w:after="80"/>
      <w:ind w:left="454" w:hanging="227"/>
    </w:pPr>
  </w:style>
  <w:style w:type="paragraph" w:styleId="TableCell">
    <w:name w:val="Table Cell"/>
    <w:basedOn w:val="Normal"/>
    <w:pPr>
      <w:spacing w:after="0" w:line="240" w:lineRule="auto"/>
    </w:pPr>
    <w:rPr>
      <w:sz w:val="19"/>
    </w:rPr>
  </w:style>
  <w:style w:type="table" w:styleId="TableGrid">
    <w:name w:val="Table Grid"/>
    <w:qFormat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ДОГОВОР № ____</dc:title>
  <dc:creator>PROMAREN</dc:creator>
  <cp:lastModifiedBy>PROMAREN</cp:lastModifiedBy>
</cp:coreProperties>
</file>