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Heading2"/>
      </w:pPr>
      <w:r>
        <w:t xml:space="preserve">УТВЕРЖДАЮ</w:t>
      </w:r>
    </w:p>
    <w:p>
      <w:r>
        <w:t xml:space="preserve">От Заказчика: ______________________ / […] / «____» __________ 20____ г.</w:t>
      </w:r>
    </w:p>
    <w:p>
      <w:r>
        <w:t xml:space="preserve">От Исполнителя: ______________________ / Погодина М. Ю. / «____» __________ 20____ г.</w:t>
      </w:r>
    </w:p>
    <w:p>
      <w:pPr>
        <w:pBdr>
          <w:bottom w:val="single" w:sz="6" w:space="1" w:color="C7CBD1"/>
        </w:pBdr>
      </w:pPr>
    </w:p>
    <w:p>
      <w:pPr>
        <w:pStyle w:val="Heading1"/>
      </w:pPr>
      <w:r>
        <w:t xml:space="preserve">ТЕХНИЧЕСКОЕ ЗАДАНИЕ</w:t>
      </w:r>
    </w:p>
    <w:p>
      <w:pPr>
        <w:pStyle w:val="Heading2"/>
      </w:pPr>
      <w:r>
        <w:t xml:space="preserve">на создание мини-приложения в мессенджере MAX для онлайн-записи и оплаты услуг</w:t>
      </w:r>
    </w:p>
    <w:p>
      <w:r>
        <w:t xml:space="preserve">Составлен по ГОСТ 34.602-2020 · стадии по ГОСТ Р 59793-2021 · комплектность по ГОСТ 34.201-2020</w:t>
      </w:r>
    </w:p>
    <w:p>
      <w:r>
        <w:t xml:space="preserve">Обозначение документа: МПЗ.01.ТЗ</w:t>
      </w:r>
    </w:p>
    <w:p>
      <w:pPr>
        <w:pBdr>
          <w:bottom w:val="single" w:sz="6" w:space="1" w:color="C7CBD1"/>
        </w:pBdr>
      </w:pPr>
    </w:p>
    <w:p>
      <w:pPr>
        <w:pStyle w:val="Heading2"/>
      </w:pPr>
      <w:r>
        <w:t xml:space="preserve">1. Общие сведения</w:t>
      </w:r>
    </w:p>
    <w:p>
      <w:r>
        <w:rPr>
          <w:b/>
        </w:rPr>
        <w:t xml:space="preserve">1.1. Полное наименование системы и её условное обозначение.</w:t>
      </w:r>
      <w:r>
        <w:t xml:space="preserve"> Мини-приложение онлайн-записи в мессенджере MAX; условное обозначение — МПЗ.</w:t>
      </w:r>
    </w:p>
    <w:p>
      <w:r>
        <w:rPr>
          <w:b/>
        </w:rPr>
        <w:t xml:space="preserve">1.2. Шифр темы.</w:t>
      </w:r>
      <w:r>
        <w:t xml:space="preserve"> МПЗ.01.</w:t>
      </w:r>
    </w:p>
    <w:p>
      <w:r>
        <w:rPr>
          <w:b/>
        </w:rPr>
        <w:t xml:space="preserve">1.3. Наименование организаций — заказчика и исполнителя.</w:t>
      </w:r>
      <w:r>
        <w:t xml:space="preserve"> Заказчик: […наименование, ИНН…]. Исполнитель: ИП Погодина Марина Юрьевна, ИНН 615427582507, ОГРНИП 326508100221182.</w:t>
      </w:r>
    </w:p>
    <w:p>
      <w:r>
        <w:rPr>
          <w:b/>
        </w:rPr>
        <w:t xml:space="preserve">1.4. Перечень документов, на основании которых создаётся система.</w:t>
      </w:r>
      <w:r>
        <w:t xml:space="preserve"> Договор № ____ от «____» __________ 20____ г.; отчёт об обследовании от «____» __________ 20____ г.</w:t>
      </w:r>
    </w:p>
    <w:p>
      <w:r>
        <w:rPr>
          <w:b/>
        </w:rPr>
        <w:t xml:space="preserve">1.5. Плановые сроки начала и окончания работ.</w:t>
      </w:r>
      <w:r>
        <w:t xml:space="preserve"> Начало — […]; окончание — […]. Календарный план приведён в разделе 5.</w:t>
      </w:r>
    </w:p>
    <w:p>
      <w:r>
        <w:rPr>
          <w:b/>
        </w:rPr>
        <w:t xml:space="preserve">1.6. Порядок оформления и предъявления результатов.</w:t>
      </w:r>
      <w:r>
        <w:t xml:space="preserve"> Результаты предъявляются поэтапно, приёмка — по разделу 6. Комплектность документов — по ГОСТ 34.201-2020.</w:t>
      </w:r>
    </w:p>
    <w:p>
      <w:pPr>
        <w:pBdr>
          <w:bottom w:val="single" w:sz="6" w:space="1" w:color="C7CBD1"/>
        </w:pBdr>
      </w:pPr>
    </w:p>
    <w:p>
      <w:pPr>
        <w:pStyle w:val="Heading2"/>
      </w:pPr>
      <w:r>
        <w:t xml:space="preserve">2. Назначение и цели создания системы</w:t>
      </w:r>
    </w:p>
    <w:p>
      <w:r>
        <w:rPr>
          <w:b/>
        </w:rPr>
        <w:t xml:space="preserve">2.1. Назначение системы.</w:t>
      </w:r>
      <w:r>
        <w:t xml:space="preserve"> Система предназначена для самостоятельной записи клиентов на услуги, внесения предоплаты и получения напоминаний непосредственно в мессенджере, без телефонного звонка администратору и без установки отдельного приложения.</w:t>
      </w:r>
    </w:p>
    <w:p>
      <w:r>
        <w:rPr>
          <w:b/>
        </w:rPr>
        <w:t xml:space="preserve">2.2. Цели создания системы.</w:t>
      </w:r>
    </w:p>
    <w:tbl>
      <w:tblPr>
        <w:tblStyle w:val="TableGrid"/>
        <w:tblW w:w="9350" w:type="dxa"/>
        <w:tblBorders>
          <w:top w:val="single" w:sz="4" w:space="0" w:color="C7CBD1"/>
          <w:left w:val="single" w:sz="4" w:space="0" w:color="C7CBD1"/>
          <w:bottom w:val="single" w:sz="4" w:space="0" w:color="C7CBD1"/>
          <w:right w:val="single" w:sz="4" w:space="0" w:color="C7CBD1"/>
          <w:insideH w:val="single" w:sz="4" w:space="0" w:color="C7CBD1"/>
          <w:insideV w:val="single" w:sz="4" w:space="0" w:color="C7CBD1"/>
        </w:tblBorders>
        <w:tblLayout w:type="fixed"/>
      </w:tblPr>
      <w:tblGrid>
        <w:gridCol w:w="2337"/>
        <w:gridCol w:w="2337"/>
        <w:gridCol w:w="2337"/>
        <w:gridCol w:w="2337"/>
      </w:tblGrid>
      <w:tr>
        <w:trPr>
          <w:tblHeader/>
        </w:trPr>
        <w:tc>
          <w:tcPr>
            <w:tcW w:w="2337" w:type="dxa"/>
            <w:shd w:val="clear" w:color="auto" w:fill="F2F3F5"/>
          </w:tcPr>
          <w:p>
            <w:pPr>
              <w:pStyle w:val="TableCell"/>
            </w:pPr>
            <w:r>
              <w:rPr>
                <w:b/>
              </w:rPr>
              <w:t xml:space="preserve">Цель</w:t>
            </w:r>
          </w:p>
        </w:tc>
        <w:tc>
          <w:tcPr>
            <w:tcW w:w="2337" w:type="dxa"/>
            <w:shd w:val="clear" w:color="auto" w:fill="F2F3F5"/>
          </w:tcPr>
          <w:p>
            <w:pPr>
              <w:pStyle w:val="TableCell"/>
            </w:pPr>
            <w:r>
              <w:rPr>
                <w:b/>
              </w:rPr>
              <w:t xml:space="preserve">Показатель</w:t>
            </w:r>
          </w:p>
        </w:tc>
        <w:tc>
          <w:tcPr>
            <w:tcW w:w="2337" w:type="dxa"/>
            <w:shd w:val="clear" w:color="auto" w:fill="F2F3F5"/>
          </w:tcPr>
          <w:p>
            <w:pPr>
              <w:pStyle w:val="TableCell"/>
            </w:pPr>
            <w:r>
              <w:rPr>
                <w:b/>
              </w:rPr>
              <w:t xml:space="preserve">Значение до</w:t>
            </w:r>
          </w:p>
        </w:tc>
        <w:tc>
          <w:tcPr>
            <w:tcW w:w="2337" w:type="dxa"/>
            <w:shd w:val="clear" w:color="auto" w:fill="F2F3F5"/>
          </w:tcPr>
          <w:p>
            <w:pPr>
              <w:pStyle w:val="TableCell"/>
            </w:pPr>
            <w:r>
              <w:rPr>
                <w:b/>
              </w:rPr>
              <w:t xml:space="preserve">Значение после</w:t>
            </w:r>
          </w:p>
        </w:tc>
      </w:tr>
      <w:tr>
        <w:tc>
          <w:tcPr>
            <w:tcW w:w="2337" w:type="dxa"/>
          </w:tcPr>
          <w:p>
            <w:pPr>
              <w:pStyle w:val="TableCell"/>
            </w:pPr>
            <w:r>
              <w:t xml:space="preserve">Снять с администратора запись, оформляемую вручную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доля записей через мини-приложение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[…] %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не менее […] %</w:t>
            </w:r>
          </w:p>
        </w:tc>
      </w:tr>
      <w:tr>
        <w:tc>
          <w:tcPr>
            <w:tcW w:w="2337" w:type="dxa"/>
          </w:tcPr>
          <w:p>
            <w:pPr>
              <w:pStyle w:val="TableCell"/>
            </w:pPr>
            <w:r>
              <w:t xml:space="preserve">Сократить неявки клиентов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доля неявок от числа записей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[…] %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не более […] %</w:t>
            </w:r>
          </w:p>
        </w:tc>
      </w:tr>
      <w:tr>
        <w:tc>
          <w:tcPr>
            <w:tcW w:w="2337" w:type="dxa"/>
          </w:tcPr>
          <w:p>
            <w:pPr>
              <w:pStyle w:val="TableCell"/>
            </w:pPr>
            <w:r>
              <w:t xml:space="preserve">Сократить простой из-за поздних отмен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доля отмен позднее чем за […] часов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[…] %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не более […] %</w:t>
            </w:r>
          </w:p>
        </w:tc>
      </w:tr>
      <w:tr>
        <w:tc>
          <w:tcPr>
            <w:tcW w:w="2337" w:type="dxa"/>
          </w:tcPr>
          <w:p>
            <w:pPr>
              <w:pStyle w:val="TableCell"/>
            </w:pPr>
            <w:r>
              <w:t xml:space="preserve">Сократить время оформления одной записи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среднее время от обращения до подтверждения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[…] мин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не более […] мин</w:t>
            </w:r>
          </w:p>
        </w:tc>
      </w:tr>
    </w:tbl>
    <w:p/>
    <w:p>
      <w:r>
        <w:t xml:space="preserve">Значения показателей до внедрения зафиксированы по данным Заказчика за период […]. Способ измерения после внедрения определён в пункте 6.4.</w:t>
      </w:r>
    </w:p>
    <w:p>
      <w:r>
        <w:rPr>
          <w:b/>
        </w:rPr>
        <w:t xml:space="preserve">2.3. Обоснование выбора мини-приложения.</w:t>
      </w:r>
      <w:r>
        <w:t xml:space="preserve"> Задача решается мини-приложением, а не мобильным приложением, поскольку клиент обращается к услуге […] раз в год: повода устанавливать приложение и проходить регистрацию у него нет, а установка сама по себе становится барьером. Мини-приложение открывается внутри мессенджера, где клиент уже находится, и обновляется без прохождения модерации магазинов приложений.</w:t>
      </w:r>
    </w:p>
    <w:p>
      <w:pPr>
        <w:pBdr>
          <w:bottom w:val="single" w:sz="6" w:space="1" w:color="C7CBD1"/>
        </w:pBdr>
      </w:pPr>
    </w:p>
    <w:p>
      <w:pPr>
        <w:pStyle w:val="Heading2"/>
      </w:pPr>
      <w:r>
        <w:t xml:space="preserve">3. Характеристика объектов автоматизации</w:t>
      </w:r>
    </w:p>
    <w:p>
      <w:r>
        <w:rPr>
          <w:b/>
        </w:rPr>
        <w:t xml:space="preserve">3.1. Краткие сведения об объекте автоматизации.</w:t>
      </w:r>
      <w:r>
        <w:t xml:space="preserve"> Процесс записи клиента на услугу: приём обращения по телефону и в мессенджере; подбор свободного времени администратором по журналу; согласование исполнителя услуги; устное подтверждение; напоминание накануне вручную.</w:t>
      </w:r>
    </w:p>
    <w:p>
      <w:r>
        <w:rPr>
          <w:b/>
        </w:rPr>
        <w:t xml:space="preserve">3.2. Сведения об условиях эксплуатации.</w:t>
      </w:r>
      <w:r>
        <w:t xml:space="preserve"> Число исполнителей услуг — […]; точек обслуживания — […]; среднее число записей в сутки — […]; пиковая нагрузка приходится на […]. Текущий журнал записи ведётся в […].</w:t>
      </w:r>
    </w:p>
    <w:p>
      <w:r>
        <w:rPr>
          <w:b/>
        </w:rPr>
        <w:t xml:space="preserve">3.3. Ограничения и особенности, выявленные при обследовании.</w:t>
      </w:r>
      <w:r>
        <w:t xml:space="preserve"> Перечисленное ниже определяет логику системы и вынесено в отдельный пункт, поскольку именно здесь возникают расхождения при приёмке.</w:t>
      </w:r>
    </w:p>
    <w:p>
      <w:pPr>
        <w:pStyle w:val="ListItem"/>
      </w:pPr>
      <w:r>
        <w:rPr>
          <w:b/>
        </w:rPr>
        <w:t xml:space="preserve">Двойная запись.</w:t>
      </w:r>
      <w:r>
        <w:t xml:space="preserve"> Один исполнитель не может быть занят двумя записями в пересекающиеся интервалы. Проверка выполняется на стороне сервера в момент подтверждения, а не на стороне клиента: два человека способны выбрать один слот одновременно.</w:t>
      </w:r>
    </w:p>
    <w:p>
      <w:pPr>
        <w:pStyle w:val="ListItem"/>
      </w:pPr>
      <w:r>
        <w:rPr>
          <w:b/>
        </w:rPr>
        <w:t xml:space="preserve">Разная длительность услуг.</w:t>
      </w:r>
      <w:r>
        <w:t xml:space="preserve"> Сетка слотов не фиксирована; длительность и требуемый перерыв после услуги задаются для каждой услуги отдельно.</w:t>
      </w:r>
    </w:p>
    <w:p>
      <w:pPr>
        <w:pStyle w:val="ListItem"/>
      </w:pPr>
      <w:r>
        <w:rPr>
          <w:b/>
        </w:rPr>
        <w:t xml:space="preserve">Совмещение услуг.</w:t>
      </w:r>
      <w:r>
        <w:t xml:space="preserve"> При записи на несколько услуг подряд система подбирает непрерывный интервал, а не сумму независимых слотов.</w:t>
      </w:r>
    </w:p>
    <w:p>
      <w:pPr>
        <w:pStyle w:val="ListItem"/>
      </w:pPr>
      <w:r>
        <w:rPr>
          <w:b/>
        </w:rPr>
        <w:t xml:space="preserve">Отмены и переносы.</w:t>
      </w:r>
      <w:r>
        <w:t xml:space="preserve"> Отмена позднее чем за […] часов не освобождает предоплату; правило описывается в интерфейсе до внесения оплаты.</w:t>
      </w:r>
    </w:p>
    <w:p>
      <w:pPr>
        <w:pStyle w:val="ListItem"/>
      </w:pPr>
      <w:r>
        <w:rPr>
          <w:b/>
        </w:rPr>
        <w:t xml:space="preserve">График исполнителей.</w:t>
      </w:r>
      <w:r>
        <w:t xml:space="preserve"> Отпуска, смены и разовые замены вводятся администратором и влияют на доступность слотов немедленно.</w:t>
      </w:r>
    </w:p>
    <w:p>
      <w:pPr>
        <w:pStyle w:val="ListItem"/>
      </w:pPr>
      <w:r>
        <w:rPr>
          <w:b/>
        </w:rPr>
        <w:t xml:space="preserve">База клиентов принадлежит Заказчику.</w:t>
      </w:r>
      <w:r>
        <w:t xml:space="preserve"> Выгрузка клиентской базы и истории записей доступна администратору в машиночитаемом формате в любой момент.</w:t>
      </w:r>
    </w:p>
    <w:p>
      <w:pPr>
        <w:pBdr>
          <w:bottom w:val="single" w:sz="6" w:space="1" w:color="C7CBD1"/>
        </w:pBdr>
      </w:pPr>
    </w:p>
    <w:p>
      <w:pPr>
        <w:pStyle w:val="Heading2"/>
      </w:pPr>
      <w:r>
        <w:t xml:space="preserve">4. Требования к системе</w:t>
      </w:r>
    </w:p>
    <w:p>
      <w:pPr>
        <w:pStyle w:val="Heading3"/>
      </w:pPr>
      <w:r>
        <w:t xml:space="preserve">4.1. Требования к системе в целом</w:t>
      </w:r>
    </w:p>
    <w:p>
      <w:r>
        <w:rPr>
          <w:b/>
        </w:rPr>
        <w:t xml:space="preserve">4.1.1. Требования к структуре и функционированию.</w:t>
      </w:r>
      <w:r>
        <w:t xml:space="preserve"> Система состоит из мини-приложения, исполняемого средствами мессенджера MAX, серверной части и подсистемы уведомлений, работающей через бота Заказчика в том же мессенджере. Административная часть исполняется в браузере.</w:t>
      </w:r>
    </w:p>
    <w:p>
      <w:r>
        <w:rPr>
          <w:b/>
        </w:rPr>
        <w:t xml:space="preserve">4.1.2. Требования к численности и квалификации персонала.</w:t>
      </w:r>
      <w:r>
        <w:t xml:space="preserve"> Роли: клиент, администратор, исполнитель услуги, владелец. Специальной подготовки для роли клиента не требуется. Администратор — сотрудник Заказчика, прошедший обучение по разделу 7.</w:t>
      </w:r>
    </w:p>
    <w:p>
      <w:r>
        <w:rPr>
          <w:b/>
        </w:rPr>
        <w:t xml:space="preserve">4.1.3. Требования к надёжности.</w:t>
      </w:r>
      <w:r>
        <w:t xml:space="preserve"> Доступность — не менее […] % в месяц вне планового обслуживания. При отказе подсистемы уведомлений записи продолжают приниматься; неотправленные уведомления ставятся в очередь и отправляются после восстановления, а устаревшие отбрасываются с записью в журнал.</w:t>
      </w:r>
    </w:p>
    <w:p>
      <w:r>
        <w:rPr>
          <w:b/>
        </w:rPr>
        <w:t xml:space="preserve">4.1.4. Требования к безопасности и разграничению доступа.</w:t>
      </w:r>
      <w:r>
        <w:t xml:space="preserve"> Клиент видит только собственные записи. Исполнитель услуги видит собственное расписание без сведений о взаиморасчётах. Администратор видит записи точки. Действия, изменяющие расписание и записи, журналируются с указанием пользователя, времени и содержания изменения; срок хранения журнала — не менее […] месяцев. Идентификация клиента выполняется средствами платформы мессенджера; отдельная парольная аутентификация клиента не вводится.</w:t>
      </w:r>
    </w:p>
    <w:p>
      <w:r>
        <w:rPr>
          <w:b/>
        </w:rPr>
        <w:t xml:space="preserve">4.1.5. Требования по защите информации и обработке персональных данных.</w:t>
      </w:r>
      <w:r>
        <w:t xml:space="preserve"> Система обрабатывает персональные данные клиентов: имя, номер телефона, идентификатор в мессенджере, история записей и состав оказанных услуг. Обработка ведётся Исполнителем по поручению Заказчика в соответствии с ч. 3 ст. 6 Федерального закона от 27.07.2006 № 152-ФЗ. Определяется уровень защищённости, реализуются меры по ст. 19 указанного закона. Хранение и обработка — в российском контуре. Согласие на обработку персональных данных запрашивается до первой записи, текст согласия и его версия сохраняются вместе с отметкой времени. Уведомление в Роскомнадзор подаёт Заказчик как оператор.</w:t>
      </w:r>
    </w:p>
    <w:p>
      <w:r>
        <w:t xml:space="preserve">Состав услуг в отдельных отраслях может относиться к сведениям с повышенными требованиями к охране; при обследовании определяется, возникает ли такой состав, и требования уточняются до начала разработки.</w:t>
      </w:r>
    </w:p>
    <w:p>
      <w:r>
        <w:rPr>
          <w:b/>
        </w:rPr>
        <w:t xml:space="preserve">4.1.6. Требования к эргономике.</w:t>
      </w:r>
      <w:r>
        <w:t xml:space="preserve"> Запись выполняется не более чем за […] экранов. Работа на экранах шириной от 360 пикселей. Контраст текста не ниже 4,5:1. Интерактивные зоны не менее 44×44 пикселей. Состояние «слот занят, пока вы выбирали» отрабатывается явным сообщением и предложением ближайшего свободного времени, а не общей ошибкой.</w:t>
      </w:r>
    </w:p>
    <w:p>
      <w:r>
        <w:rPr>
          <w:b/>
        </w:rPr>
        <w:t xml:space="preserve">4.1.7. Требования, не предъявляемые к системе.</w:t>
      </w:r>
      <w:r>
        <w:t xml:space="preserve"> Система не ведёт бухгалтерский и складской учёт, не заменяет кассовое программное обеспечение, не выполняет рассылки рекламного характера и не осуществляет продвижение мини-приложения.</w:t>
      </w:r>
    </w:p>
    <w:p>
      <w:pPr>
        <w:pStyle w:val="Heading3"/>
      </w:pPr>
      <w:r>
        <w:t xml:space="preserve">4.2. Требования к функциям</w:t>
      </w:r>
    </w:p>
    <w:tbl>
      <w:tblPr>
        <w:tblStyle w:val="TableGrid"/>
        <w:tblW w:w="9350" w:type="dxa"/>
        <w:tblBorders>
          <w:top w:val="single" w:sz="4" w:space="0" w:color="C7CBD1"/>
          <w:left w:val="single" w:sz="4" w:space="0" w:color="C7CBD1"/>
          <w:bottom w:val="single" w:sz="4" w:space="0" w:color="C7CBD1"/>
          <w:right w:val="single" w:sz="4" w:space="0" w:color="C7CBD1"/>
          <w:insideH w:val="single" w:sz="4" w:space="0" w:color="C7CBD1"/>
          <w:insideV w:val="single" w:sz="4" w:space="0" w:color="C7CBD1"/>
        </w:tblBorders>
        <w:tblLayout w:type="fixed"/>
      </w:tblPr>
      <w:tblGrid>
        <w:gridCol w:w="2337"/>
        <w:gridCol w:w="2337"/>
        <w:gridCol w:w="2337"/>
        <w:gridCol w:w="2337"/>
      </w:tblGrid>
      <w:tr>
        <w:trPr>
          <w:tblHeader/>
        </w:trPr>
        <w:tc>
          <w:tcPr>
            <w:tcW w:w="2337" w:type="dxa"/>
            <w:shd w:val="clear" w:color="auto" w:fill="F2F3F5"/>
          </w:tcPr>
          <w:p>
            <w:pPr>
              <w:pStyle w:val="TableCell"/>
            </w:pPr>
            <w:r>
              <w:rPr>
                <w:b/>
              </w:rPr>
              <w:t xml:space="preserve">Код</w:t>
            </w:r>
          </w:p>
        </w:tc>
        <w:tc>
          <w:tcPr>
            <w:tcW w:w="2337" w:type="dxa"/>
            <w:shd w:val="clear" w:color="auto" w:fill="F2F3F5"/>
          </w:tcPr>
          <w:p>
            <w:pPr>
              <w:pStyle w:val="TableCell"/>
            </w:pPr>
            <w:r>
              <w:rPr>
                <w:b/>
              </w:rPr>
              <w:t xml:space="preserve">Функция</w:t>
            </w:r>
          </w:p>
        </w:tc>
        <w:tc>
          <w:tcPr>
            <w:tcW w:w="2337" w:type="dxa"/>
            <w:shd w:val="clear" w:color="auto" w:fill="F2F3F5"/>
          </w:tcPr>
          <w:p>
            <w:pPr>
              <w:pStyle w:val="TableCell"/>
            </w:pPr>
            <w:r>
              <w:rPr>
                <w:b/>
              </w:rPr>
              <w:t xml:space="preserve">Содержание</w:t>
            </w:r>
          </w:p>
        </w:tc>
        <w:tc>
          <w:tcPr>
            <w:tcW w:w="2337" w:type="dxa"/>
            <w:shd w:val="clear" w:color="auto" w:fill="F2F3F5"/>
          </w:tcPr>
          <w:p>
            <w:pPr>
              <w:pStyle w:val="TableCell"/>
            </w:pPr>
            <w:r>
              <w:rPr>
                <w:b/>
              </w:rPr>
              <w:t xml:space="preserve">Приоритет</w:t>
            </w:r>
          </w:p>
        </w:tc>
      </w:tr>
      <w:tr>
        <w:tc>
          <w:tcPr>
            <w:tcW w:w="2337" w:type="dxa"/>
          </w:tcPr>
          <w:p>
            <w:pPr>
              <w:pStyle w:val="TableCell"/>
            </w:pPr>
            <w:r>
              <w:t xml:space="preserve">Ф-01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Идентификация клиента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Определение клиента средствами платформы, привязка к карточке и истории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Обязательная</w:t>
            </w:r>
          </w:p>
        </w:tc>
      </w:tr>
      <w:tr>
        <w:tc>
          <w:tcPr>
            <w:tcW w:w="2337" w:type="dxa"/>
          </w:tcPr>
          <w:p>
            <w:pPr>
              <w:pStyle w:val="TableCell"/>
            </w:pPr>
            <w:r>
              <w:t xml:space="preserve">Ф-02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Каталог услуг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Услуги, длительность, стоимость, исполнители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Обязательная</w:t>
            </w:r>
          </w:p>
        </w:tc>
      </w:tr>
      <w:tr>
        <w:tc>
          <w:tcPr>
            <w:tcW w:w="2337" w:type="dxa"/>
          </w:tcPr>
          <w:p>
            <w:pPr>
              <w:pStyle w:val="TableCell"/>
            </w:pPr>
            <w:r>
              <w:t xml:space="preserve">Ф-03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Подбор свободного времени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Расчёт доступных интервалов с учётом длительности, перерывов и графика исполнителей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Обязательная</w:t>
            </w:r>
          </w:p>
        </w:tc>
      </w:tr>
      <w:tr>
        <w:tc>
          <w:tcPr>
            <w:tcW w:w="2337" w:type="dxa"/>
          </w:tcPr>
          <w:p>
            <w:pPr>
              <w:pStyle w:val="TableCell"/>
            </w:pPr>
            <w:r>
              <w:t xml:space="preserve">Ф-04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Оформление записи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Выбор услуги, исполнителя и времени, подтверждение, защита от двойной записи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Обязательная</w:t>
            </w:r>
          </w:p>
        </w:tc>
      </w:tr>
      <w:tr>
        <w:tc>
          <w:tcPr>
            <w:tcW w:w="2337" w:type="dxa"/>
          </w:tcPr>
          <w:p>
            <w:pPr>
              <w:pStyle w:val="TableCell"/>
            </w:pPr>
            <w:r>
              <w:t xml:space="preserve">Ф-05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Предоплата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Оплата средствами платформы, фиксация факта оплаты, возврат по правилам отмены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Обязательная</w:t>
            </w:r>
          </w:p>
        </w:tc>
      </w:tr>
      <w:tr>
        <w:tc>
          <w:tcPr>
            <w:tcW w:w="2337" w:type="dxa"/>
          </w:tcPr>
          <w:p>
            <w:pPr>
              <w:pStyle w:val="TableCell"/>
            </w:pPr>
            <w:r>
              <w:t xml:space="preserve">Ф-06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Отмена и перенос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Самостоятельная отмена и перенос клиентом с применением правила срока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Обязательная</w:t>
            </w:r>
          </w:p>
        </w:tc>
      </w:tr>
      <w:tr>
        <w:tc>
          <w:tcPr>
            <w:tcW w:w="2337" w:type="dxa"/>
          </w:tcPr>
          <w:p>
            <w:pPr>
              <w:pStyle w:val="TableCell"/>
            </w:pPr>
            <w:r>
              <w:t xml:space="preserve">Ф-07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Напоминания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Напоминание за […] часов, подтверждение явки, оповещение об изменении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Обязательная</w:t>
            </w:r>
          </w:p>
        </w:tc>
      </w:tr>
      <w:tr>
        <w:tc>
          <w:tcPr>
            <w:tcW w:w="2337" w:type="dxa"/>
          </w:tcPr>
          <w:p>
            <w:pPr>
              <w:pStyle w:val="TableCell"/>
            </w:pPr>
            <w:r>
              <w:t xml:space="preserve">Ф-08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Кабинет клиента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История записей, повторная запись в одно нажатие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Желательная</w:t>
            </w:r>
          </w:p>
        </w:tc>
      </w:tr>
      <w:tr>
        <w:tc>
          <w:tcPr>
            <w:tcW w:w="2337" w:type="dxa"/>
          </w:tcPr>
          <w:p>
            <w:pPr>
              <w:pStyle w:val="TableCell"/>
            </w:pPr>
            <w:r>
              <w:t xml:space="preserve">Ф-09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Рабочее место администратора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Журнал записей, ручная запись, графики и замены исполнителей, выгрузка базы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Обязательная</w:t>
            </w:r>
          </w:p>
        </w:tc>
      </w:tr>
      <w:tr>
        <w:tc>
          <w:tcPr>
            <w:tcW w:w="2337" w:type="dxa"/>
          </w:tcPr>
          <w:p>
            <w:pPr>
              <w:pStyle w:val="TableCell"/>
            </w:pPr>
            <w:r>
              <w:t xml:space="preserve">Ф-10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Отчётность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Загрузка исполнителей, неявки, отмены, выручка за период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Желательная</w:t>
            </w:r>
          </w:p>
        </w:tc>
      </w:tr>
    </w:tbl>
    <w:p/>
    <w:p>
      <w:r>
        <w:t xml:space="preserve">Для каждой функции в рабочей документации приводится сценарий, перечень проверок и поведение при ошибке.</w:t>
      </w:r>
    </w:p>
    <w:p>
      <w:pPr>
        <w:pStyle w:val="Heading3"/>
      </w:pPr>
      <w:r>
        <w:t xml:space="preserve">4.3. Требования к видам обеспечения</w:t>
      </w:r>
    </w:p>
    <w:p>
      <w:r>
        <w:rPr>
          <w:b/>
        </w:rPr>
        <w:t xml:space="preserve">Информационное.</w:t>
      </w:r>
      <w:r>
        <w:t xml:space="preserve"> Модель данных: услуги, исполнители, графики, записи, клиенты, платежи, журнал действий. Правила хранения и сроки удаления персональных данных после прекращения обработки.</w:t>
      </w:r>
    </w:p>
    <w:p>
      <w:r>
        <w:rPr>
          <w:b/>
        </w:rPr>
        <w:t xml:space="preserve">Программное.</w:t>
      </w:r>
      <w:r>
        <w:t xml:space="preserve"> Мини-приложение — Next.js и TypeScript; хранилище — PostgreSQL; развёртывание — контейнеры. Обоснование выбора — пункт 9.2.</w:t>
      </w:r>
    </w:p>
    <w:p>
      <w:r>
        <w:rPr>
          <w:b/>
        </w:rPr>
        <w:t xml:space="preserve">Техническое.</w:t>
      </w:r>
      <w:r>
        <w:t xml:space="preserve"> Размещение в российском контуре: на инфраструктуре Заказчика либо в российском облаке по его выбору. Требования к ресурсам приводятся в рабочей документации.</w:t>
      </w:r>
    </w:p>
    <w:p>
      <w:r>
        <w:rPr>
          <w:b/>
        </w:rPr>
        <w:t xml:space="preserve">Организационное.</w:t>
      </w:r>
      <w:r>
        <w:t xml:space="preserve"> Регламент действий администратора при сбое оплаты, при отказе подсистемы уведомлений и при изменении графика исполнителя в день записи.</w:t>
      </w:r>
    </w:p>
    <w:p>
      <w:pPr>
        <w:pBdr>
          <w:bottom w:val="single" w:sz="6" w:space="1" w:color="C7CBD1"/>
        </w:pBdr>
      </w:pPr>
    </w:p>
    <w:p>
      <w:pPr>
        <w:pStyle w:val="Heading2"/>
      </w:pPr>
      <w:r>
        <w:t xml:space="preserve">5. Состав и содержание работ по созданию системы</w:t>
      </w:r>
    </w:p>
    <w:tbl>
      <w:tblPr>
        <w:tblStyle w:val="TableGrid"/>
        <w:tblW w:w="9350" w:type="dxa"/>
        <w:tblBorders>
          <w:top w:val="single" w:sz="4" w:space="0" w:color="C7CBD1"/>
          <w:left w:val="single" w:sz="4" w:space="0" w:color="C7CBD1"/>
          <w:bottom w:val="single" w:sz="4" w:space="0" w:color="C7CBD1"/>
          <w:right w:val="single" w:sz="4" w:space="0" w:color="C7CBD1"/>
          <w:insideH w:val="single" w:sz="4" w:space="0" w:color="C7CBD1"/>
          <w:insideV w:val="single" w:sz="4" w:space="0" w:color="C7CBD1"/>
        </w:tblBorders>
        <w:tblLayout w:type="fixed"/>
      </w:tblPr>
      <w:tblGrid>
        <w:gridCol w:w="2337"/>
        <w:gridCol w:w="2337"/>
        <w:gridCol w:w="2337"/>
        <w:gridCol w:w="2337"/>
      </w:tblGrid>
      <w:tr>
        <w:trPr>
          <w:tblHeader/>
        </w:trPr>
        <w:tc>
          <w:tcPr>
            <w:tcW w:w="2337" w:type="dxa"/>
            <w:shd w:val="clear" w:color="auto" w:fill="F2F3F5"/>
          </w:tcPr>
          <w:p>
            <w:pPr>
              <w:pStyle w:val="TableCell"/>
            </w:pPr>
            <w:r>
              <w:rPr>
                <w:b/>
              </w:rPr>
              <w:t xml:space="preserve">Стадия по ГОСТ Р 59793-2021</w:t>
            </w:r>
          </w:p>
        </w:tc>
        <w:tc>
          <w:tcPr>
            <w:tcW w:w="2337" w:type="dxa"/>
            <w:shd w:val="clear" w:color="auto" w:fill="F2F3F5"/>
          </w:tcPr>
          <w:p>
            <w:pPr>
              <w:pStyle w:val="TableCell"/>
            </w:pPr>
            <w:r>
              <w:rPr>
                <w:b/>
              </w:rPr>
              <w:t xml:space="preserve">Работы</w:t>
            </w:r>
          </w:p>
        </w:tc>
        <w:tc>
          <w:tcPr>
            <w:tcW w:w="2337" w:type="dxa"/>
            <w:shd w:val="clear" w:color="auto" w:fill="F2F3F5"/>
          </w:tcPr>
          <w:p>
            <w:pPr>
              <w:pStyle w:val="TableCell"/>
            </w:pPr>
            <w:r>
              <w:rPr>
                <w:b/>
              </w:rPr>
              <w:t xml:space="preserve">Результат</w:t>
            </w:r>
          </w:p>
        </w:tc>
        <w:tc>
          <w:tcPr>
            <w:tcW w:w="2337" w:type="dxa"/>
            <w:shd w:val="clear" w:color="auto" w:fill="F2F3F5"/>
          </w:tcPr>
          <w:p>
            <w:pPr>
              <w:pStyle w:val="TableCell"/>
            </w:pPr>
            <w:r>
              <w:rPr>
                <w:b/>
              </w:rPr>
              <w:t xml:space="preserve">Срок</w:t>
            </w:r>
          </w:p>
        </w:tc>
      </w:tr>
      <w:tr>
        <w:tc>
          <w:tcPr>
            <w:tcW w:w="2337" w:type="dxa"/>
          </w:tcPr>
          <w:p>
            <w:pPr>
              <w:pStyle w:val="TableCell"/>
            </w:pPr>
            <w:r>
              <w:t xml:space="preserve">Обследование объекта автоматизации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Изучение процесса записи, интервью с администратором и исполнителями, разбор журнала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Отчёт об обследовании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[…]</w:t>
            </w:r>
          </w:p>
        </w:tc>
      </w:tr>
      <w:tr>
        <w:tc>
          <w:tcPr>
            <w:tcW w:w="2337" w:type="dxa"/>
          </w:tcPr>
          <w:p>
            <w:pPr>
              <w:pStyle w:val="TableCell"/>
            </w:pPr>
            <w:r>
              <w:t xml:space="preserve">Техническое задание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Разработка и согласование настоящего документа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ТЗ по ГОСТ 34.602-2020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[…]</w:t>
            </w:r>
          </w:p>
        </w:tc>
      </w:tr>
      <w:tr>
        <w:tc>
          <w:tcPr>
            <w:tcW w:w="2337" w:type="dxa"/>
          </w:tcPr>
          <w:p>
            <w:pPr>
              <w:pStyle w:val="TableCell"/>
            </w:pPr>
            <w:r>
              <w:t xml:space="preserve">Эскизный и технический проект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Схема решения, кликабельный прототип, модель данных, выбор способа оплаты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Пояснительная записка, прототип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[…]</w:t>
            </w:r>
          </w:p>
        </w:tc>
      </w:tr>
      <w:tr>
        <w:tc>
          <w:tcPr>
            <w:tcW w:w="2337" w:type="dxa"/>
          </w:tcPr>
          <w:p>
            <w:pPr>
              <w:pStyle w:val="TableCell"/>
            </w:pPr>
            <w:r>
              <w:t xml:space="preserve">Рабочая документация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Разработка, отладка, документирование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Исходный код, руководства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[…]</w:t>
            </w:r>
          </w:p>
        </w:tc>
      </w:tr>
      <w:tr>
        <w:tc>
          <w:tcPr>
            <w:tcW w:w="2337" w:type="dxa"/>
          </w:tcPr>
          <w:p>
            <w:pPr>
              <w:pStyle w:val="TableCell"/>
            </w:pPr>
            <w:r>
              <w:t xml:space="preserve">Ввод в действие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Развёртывание, обучение, опытная эксплуатация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Акт ввода в опытную эксплуатацию</w:t>
            </w:r>
          </w:p>
        </w:tc>
        <w:tc>
          <w:tcPr>
            <w:tcW w:w="2337" w:type="dxa"/>
          </w:tcPr>
          <w:p>
            <w:pPr>
              <w:pStyle w:val="TableCell"/>
            </w:pPr>
            <w:r>
              <w:t xml:space="preserve">[…]</w:t>
            </w:r>
          </w:p>
        </w:tc>
      </w:tr>
    </w:tbl>
    <w:p/>
    <w:p>
      <w:pPr>
        <w:pBdr>
          <w:bottom w:val="single" w:sz="6" w:space="1" w:color="C7CBD1"/>
        </w:pBdr>
      </w:pPr>
    </w:p>
    <w:p>
      <w:pPr>
        <w:pStyle w:val="Heading2"/>
      </w:pPr>
      <w:r>
        <w:t xml:space="preserve">6. Порядок контроля и приёмки системы</w:t>
      </w:r>
    </w:p>
    <w:p>
      <w:r>
        <w:rPr>
          <w:b/>
        </w:rPr>
        <w:t xml:space="preserve">6.1. Виды испытаний.</w:t>
      </w:r>
      <w:r>
        <w:t xml:space="preserve"> Предварительные испытания, опытная эксплуатация, приёмочные испытания.</w:t>
      </w:r>
    </w:p>
    <w:p>
      <w:r>
        <w:rPr>
          <w:b/>
        </w:rPr>
        <w:t xml:space="preserve">6.2. Программа и методика испытаний</w:t>
      </w:r>
      <w:r>
        <w:t xml:space="preserve"> разрабатывается Исполнителем и согласуется Заказчиком до начала предварительных испытаний.</w:t>
      </w:r>
    </w:p>
    <w:p>
      <w:r>
        <w:rPr>
          <w:b/>
        </w:rPr>
        <w:t xml:space="preserve">6.3. Общие требования к приёмке.</w:t>
      </w:r>
      <w:r>
        <w:t xml:space="preserve"> Приёмка проводится по перечню функций раздела 4.2 на данных Заказчика. Функция считается принятой, если пройдены все проверки, включая поведение при ошибке.</w:t>
      </w:r>
    </w:p>
    <w:p>
      <w:r>
        <w:t xml:space="preserve">Обязательные проверки, вытекающие из пункта 3.3: одновременный выбор одного слота двумя клиентами; запись на несколько услуг подряд; отмена до и после установленного срока; изменение графика исполнителя при уже оформленных записях; недоступность подсистемы уведомлений в момент оформления записи.</w:t>
      </w:r>
    </w:p>
    <w:p>
      <w:r>
        <w:rPr>
          <w:b/>
        </w:rPr>
        <w:t xml:space="preserve">6.4. Проверка достижения целей.</w:t>
      </w:r>
      <w:r>
        <w:t xml:space="preserve"> Показатели раздела 2.2 измеряются на […] день опытной эксплуатации тем же способом, что и до внедрения. Результат оформляется протоколом.</w:t>
      </w:r>
    </w:p>
    <w:p>
      <w:pPr>
        <w:pBdr>
          <w:bottom w:val="single" w:sz="6" w:space="1" w:color="C7CBD1"/>
        </w:pBdr>
      </w:pPr>
    </w:p>
    <w:p>
      <w:pPr>
        <w:pStyle w:val="Heading2"/>
      </w:pPr>
      <w:r>
        <w:t xml:space="preserve">7. Требования к подготовке объекта автоматизации к вводу в действие</w:t>
      </w:r>
    </w:p>
    <w:p>
      <w:r>
        <w:t xml:space="preserve">7.1. Заказчик обеспечивает </w:t>
      </w:r>
      <w:r>
        <w:rPr>
          <w:b/>
        </w:rPr>
        <w:t xml:space="preserve">до начала работ по этапу</w:t>
      </w:r>
      <w:r>
        <w:t xml:space="preserve">: перечень услуг с длительностью и стоимостью, список исполнителей с графиками, доступ к каналу и боту в мессенджере, реквизиты для приёма платежей, назначение администратора.</w:t>
      </w:r>
    </w:p>
    <w:p>
      <w:r>
        <w:t xml:space="preserve">7.1.1. Сторонние платные сервисы, необходимые для работы системы, оплачивает Заказчик напрямую: вычислительные мощности и хостинг, доменное имя, платёжный сервис, доступ к языковым моделям, если сценарии их используют. Перечень с ориентировочной стоимостью передаётся Заказчику до начала работ. Срок этапа исчисляется с даты, когда доступы предоставлены и сервисы оплачены.</w:t>
      </w:r>
    </w:p>
    <w:p>
      <w:r>
        <w:t xml:space="preserve">7.2. Исполнитель проводит обучение администратора и исполнителей услуг; передаются регламенты и письменные инструкции.</w:t>
      </w:r>
    </w:p>
    <w:p>
      <w:r>
        <w:t xml:space="preserve">7.3. Порядок перехода: параллельная работа мини-приложения и прежнего порядка записи в течение […] недель с ежедневной сверкой журналов.</w:t>
      </w:r>
    </w:p>
    <w:p>
      <w:pPr>
        <w:pBdr>
          <w:bottom w:val="single" w:sz="6" w:space="1" w:color="C7CBD1"/>
        </w:pBdr>
      </w:pPr>
    </w:p>
    <w:p>
      <w:pPr>
        <w:pStyle w:val="Heading2"/>
      </w:pPr>
      <w:r>
        <w:t xml:space="preserve">8. Требования к документированию</w:t>
      </w:r>
    </w:p>
    <w:p>
      <w:r>
        <w:t xml:space="preserve">Комплектность — по ГОСТ 34.201-2020. Передаются: настоящее техническое задание, пояснительная записка, описание информационного обеспечения, руководство пользователя, руководство администратора, программа и методика испытаний, ведомость документов. Программная документация оформляется по комплексу стандартов ЕСПД (ГОСТ 19).</w:t>
      </w:r>
    </w:p>
    <w:p>
      <w:pPr>
        <w:pBdr>
          <w:bottom w:val="single" w:sz="6" w:space="1" w:color="C7CBD1"/>
        </w:pBdr>
      </w:pPr>
    </w:p>
    <w:p>
      <w:pPr>
        <w:pStyle w:val="Heading2"/>
      </w:pPr>
      <w:r>
        <w:t xml:space="preserve">9. Источники разработки</w:t>
      </w:r>
    </w:p>
    <w:p>
      <w:r>
        <w:t xml:space="preserve">9.1. Отчёт об обследовании от «____» __________ 20____ г.; материалы, предоставленные Заказчиком; действующая документация платформы мессенджера на дату согласования настоящего документа.</w:t>
      </w:r>
    </w:p>
    <w:p>
      <w:r>
        <w:t xml:space="preserve">9.2. Обоснование выбора программных средств: Next.js и TypeScript — распространённый стек, позволяющий Заказчику найти замену исполнителю без переписывания системы; PostgreSQL — свободная СУБД без лицензионных платежей и с размещением в российском контуре.</w:t>
      </w:r>
    </w:p>
    <w:p>
      <w:r>
        <w:t xml:space="preserve">9.3. Способ приёма платежей и способ идентификации клиента определяются на стадии эскизного проекта по действующей на тот момент документации платформы и фиксируются дополнением к настоящему документу.</w:t>
      </w:r>
    </w:p>
    <w:p>
      <w:pPr>
        <w:pBdr>
          <w:bottom w:val="single" w:sz="6" w:space="1" w:color="C7CBD1"/>
        </w:pBdr>
      </w:pPr>
    </w:p>
    <w:p>
      <w:r>
        <w:rPr>
          <w:b/>
        </w:rPr>
        <w:t xml:space="preserve">Лист согласования</w:t>
      </w:r>
      <w:r>
        <w:t xml:space="preserve"> приводится в конце документа и включает представителей Заказчика, ответственных за процесс записи, за приём платежей и за обработку персональных данных.</w:t>
      </w:r>
    </w:p>
    <w:sectPr>
      <w:pgSz w:w="11906" w:h="16838"/>
      <w:pgMar w:top="1134" w:right="1134" w:bottom="1134" w:left="1418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Inter" w:hAnsi="Inter" w:cs="Inter"/>
        <w:sz w:val="21"/>
        <w:szCs w:val="21"/>
        <w:lang w:val="ru-RU"/>
      </w:rPr>
    </w:rPrDefault>
    <w:pPrDefault>
      <w:pPr>
        <w:spacing w:after="140" w:line="290" w:lineRule="auto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qFormat/>
    <w:pPr>
      <w:keepNext/>
      <w:spacing w:before="240" w:after="180"/>
      <w:outlineLvl w:val="0"/>
    </w:pPr>
    <w:rPr>
      <w:rFonts w:ascii="Martian Mono" w:hAnsi="Martian Mono" w:cs="Martian Mono"/>
      <w:b/>
      <w:sz w:val="40"/>
    </w:rPr>
  </w:style>
  <w:style w:type="paragraph" w:styleId="Heading2">
    <w:name w:val="heading 2"/>
    <w:basedOn w:val="Normal"/>
    <w:qFormat/>
    <w:pPr>
      <w:keepNext/>
      <w:spacing w:before="280" w:after="140"/>
      <w:outlineLvl w:val="1"/>
    </w:pPr>
    <w:rPr>
      <w:rFonts w:ascii="Martian Mono" w:hAnsi="Martian Mono" w:cs="Martian Mono"/>
      <w:b/>
      <w:sz w:val="28"/>
    </w:rPr>
  </w:style>
  <w:style w:type="paragraph" w:styleId="Heading3">
    <w:name w:val="heading 3"/>
    <w:basedOn w:val="Normal"/>
    <w:qFormat/>
    <w:pPr>
      <w:keepNext/>
      <w:spacing w:before="220" w:after="120"/>
      <w:outlineLvl w:val="2"/>
    </w:pPr>
    <w:rPr>
      <w:rFonts w:ascii="Martian Mono" w:hAnsi="Martian Mono" w:cs="Martian Mono"/>
      <w:b/>
      <w:sz w:val="23"/>
    </w:rPr>
  </w:style>
  <w:style w:type="paragraph" w:styleId="ListItem">
    <w:name w:val="List Item"/>
    <w:basedOn w:val="Normal"/>
    <w:pPr>
      <w:spacing w:after="80"/>
      <w:ind w:left="454" w:hanging="227"/>
    </w:pPr>
  </w:style>
  <w:style w:type="paragraph" w:styleId="TableCell">
    <w:name w:val="Table Cell"/>
    <w:basedOn w:val="Normal"/>
    <w:pPr>
      <w:spacing w:after="0" w:line="240" w:lineRule="auto"/>
    </w:pPr>
    <w:rPr>
      <w:sz w:val="19"/>
    </w:rPr>
  </w:style>
  <w:style w:type="table" w:styleId="TableGrid">
    <w:name w:val="Table Grid"/>
    <w:qFormat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ТЕХНИЧЕСКОЕ ЗАДАНИЕ</dc:title>
  <dc:creator>PROMAREN</dc:creator>
  <cp:lastModifiedBy>PROMAREN</cp:lastModifiedBy>
</cp:coreProperties>
</file>